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181A6">
      <w:pPr>
        <w:spacing w:line="579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28"/>
        </w:rPr>
      </w:pPr>
      <w:r>
        <w:rPr>
          <w:rFonts w:hint="eastAsia" w:ascii="方正小标宋_GBK" w:hAnsi="方正小标宋_GBK" w:eastAsia="方正小标宋_GBK" w:cs="方正小标宋_GBK"/>
          <w:sz w:val="36"/>
          <w:szCs w:val="28"/>
        </w:rPr>
        <w:pict>
          <v:shape id="艺术字 4" o:spid="_x0000_s1026" o:spt="136" type="#_x0000_t136" style="position:absolute;left:0pt;margin-left:-21.55pt;margin-top:4.7pt;height:32.25pt;width:462pt;z-index:251659264;mso-width-relative:page;mso-height-relative:page;" fillcolor="#FF0000" filled="t" stroked="t" coordsize="21600,21600">
            <v:path/>
            <v:fill on="t" focussize="0,0"/>
            <v:stroke color="#FF0000"/>
            <v:imagedata o:title=""/>
            <o:lock v:ext="edit" text="f"/>
            <v:textpath on="t" fitshape="t" fitpath="t" trim="t" xscale="f" string=" 江门市江海区工商业联合会" style="font-family:宋体;font-size:32pt;v-text-align:center;v-text-spacing:72090f;"/>
            <w10:anchorlock/>
          </v:shape>
        </w:pict>
      </w:r>
      <w:r>
        <w:rPr>
          <w:rFonts w:hint="eastAsia" w:ascii="方正小标宋_GBK" w:hAnsi="方正小标宋_GBK" w:eastAsia="方正小标宋_GBK" w:cs="方正小标宋_GBK"/>
          <w:sz w:val="36"/>
          <w:szCs w:val="28"/>
        </w:rPr>
        <w:t xml:space="preserve"> </w:t>
      </w:r>
    </w:p>
    <w:p w14:paraId="0953524E">
      <w:pPr>
        <w:spacing w:line="480" w:lineRule="auto"/>
        <w:jc w:val="center"/>
        <w:rPr>
          <w:rFonts w:hint="eastAsia" w:ascii="方正小标宋_GBK" w:hAnsi="方正小标宋_GBK" w:eastAsia="方正小标宋_GBK" w:cs="方正小标宋_GBK"/>
          <w:sz w:val="36"/>
          <w:szCs w:val="28"/>
        </w:rPr>
      </w:pPr>
    </w:p>
    <w:p w14:paraId="1644E9A9">
      <w:pPr>
        <w:spacing w:line="480" w:lineRule="auto"/>
        <w:jc w:val="center"/>
        <w:rPr>
          <w:rFonts w:hint="eastAsia" w:ascii="方正小标宋_GBK" w:hAnsi="方正小标宋_GBK" w:eastAsia="方正小标宋_GBK" w:cs="方正小标宋_GBK"/>
          <w:sz w:val="84"/>
          <w:szCs w:val="84"/>
        </w:rPr>
      </w:pPr>
      <w:r>
        <w:rPr>
          <w:rFonts w:ascii="方正小标宋_GBK" w:hAnsi="方正小标宋_GBK" w:eastAsia="方正小标宋_GBK" w:cs="方正小标宋_GBK"/>
          <w:sz w:val="84"/>
          <w:szCs w:val="84"/>
        </w:rPr>
        <w:drawing>
          <wp:inline distT="0" distB="0" distL="0" distR="0">
            <wp:extent cx="2343150" cy="571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5019B">
      <w:pPr>
        <w:spacing w:line="660" w:lineRule="exact"/>
        <w:jc w:val="center"/>
        <w:rPr>
          <w:rFonts w:ascii="楷体_GB2312" w:hAnsi="黑体" w:eastAsia="楷体_GB2312"/>
          <w:szCs w:val="32"/>
        </w:rPr>
      </w:pPr>
      <w:r>
        <w:rPr>
          <w:rFonts w:hint="eastAsia" w:ascii="楷体_GB2312" w:hAnsi="黑体" w:eastAsia="楷体_GB2312"/>
          <w:szCs w:val="32"/>
        </w:rPr>
        <w:t>【202</w:t>
      </w:r>
      <w:r>
        <w:rPr>
          <w:rFonts w:hint="eastAsia" w:ascii="楷体_GB2312" w:hAnsi="黑体" w:eastAsia="楷体_GB2312"/>
          <w:szCs w:val="32"/>
          <w:lang w:val="en-US" w:eastAsia="zh-CN"/>
        </w:rPr>
        <w:t>4</w:t>
      </w:r>
      <w:r>
        <w:rPr>
          <w:rFonts w:hint="eastAsia" w:ascii="楷体_GB2312" w:hAnsi="黑体" w:eastAsia="楷体_GB2312"/>
          <w:szCs w:val="32"/>
        </w:rPr>
        <w:t>】第</w:t>
      </w:r>
      <w:r>
        <w:rPr>
          <w:rFonts w:hint="eastAsia" w:ascii="楷体_GB2312" w:hAnsi="黑体" w:eastAsia="楷体_GB2312"/>
          <w:szCs w:val="32"/>
          <w:lang w:val="en-US" w:eastAsia="zh-CN"/>
        </w:rPr>
        <w:t>10</w:t>
      </w:r>
      <w:r>
        <w:rPr>
          <w:rFonts w:hint="eastAsia" w:ascii="楷体_GB2312" w:hAnsi="黑体" w:eastAsia="楷体_GB2312"/>
          <w:szCs w:val="32"/>
        </w:rPr>
        <w:t>期</w:t>
      </w:r>
    </w:p>
    <w:p w14:paraId="7321FB00">
      <w:pPr>
        <w:jc w:val="center"/>
        <w:rPr>
          <w:rFonts w:ascii="楷体_GB2312" w:hAnsi="黑体" w:eastAsia="楷体_GB2312"/>
          <w:szCs w:val="32"/>
        </w:rPr>
      </w:pPr>
      <w:r>
        <w:rPr>
          <w:rFonts w:hint="eastAsia" w:ascii="楷体_GB2312" w:hAnsi="黑体" w:eastAsia="楷体_GB2312"/>
          <w:szCs w:val="32"/>
        </w:rPr>
        <w:t xml:space="preserve">江门市江海区工商业联合会办公室编 </w:t>
      </w:r>
      <w:r>
        <w:rPr>
          <w:rFonts w:hint="eastAsia" w:ascii="楷体_GB2312" w:hAnsi="黑体" w:eastAsia="楷体_GB2312"/>
          <w:szCs w:val="32"/>
          <w:lang w:val="en-US" w:eastAsia="zh-CN"/>
        </w:rPr>
        <w:t xml:space="preserve">      </w:t>
      </w:r>
      <w:r>
        <w:rPr>
          <w:rFonts w:hint="eastAsia" w:ascii="楷体_GB2312" w:hAnsi="黑体" w:eastAsia="楷体_GB2312"/>
          <w:szCs w:val="32"/>
        </w:rPr>
        <w:t>202</w:t>
      </w:r>
      <w:r>
        <w:rPr>
          <w:rFonts w:hint="eastAsia" w:ascii="楷体_GB2312" w:hAnsi="黑体" w:eastAsia="楷体_GB2312"/>
          <w:szCs w:val="32"/>
          <w:lang w:val="en-US" w:eastAsia="zh-CN"/>
        </w:rPr>
        <w:t>4</w:t>
      </w:r>
      <w:r>
        <w:rPr>
          <w:rFonts w:hint="eastAsia" w:ascii="楷体_GB2312" w:hAnsi="黑体" w:eastAsia="楷体_GB2312"/>
          <w:szCs w:val="32"/>
        </w:rPr>
        <w:t>年</w:t>
      </w:r>
      <w:r>
        <w:rPr>
          <w:rFonts w:hint="eastAsia" w:ascii="楷体_GB2312" w:hAnsi="黑体" w:eastAsia="楷体_GB2312"/>
          <w:szCs w:val="32"/>
          <w:lang w:val="en-US" w:eastAsia="zh-CN"/>
        </w:rPr>
        <w:t>9</w:t>
      </w:r>
      <w:r>
        <w:rPr>
          <w:rFonts w:hint="eastAsia" w:ascii="楷体_GB2312" w:hAnsi="黑体" w:eastAsia="楷体_GB2312"/>
          <w:szCs w:val="32"/>
        </w:rPr>
        <w:t>月</w:t>
      </w:r>
      <w:r>
        <w:rPr>
          <w:rFonts w:hint="eastAsia" w:ascii="楷体_GB2312" w:hAnsi="黑体" w:eastAsia="楷体_GB2312"/>
          <w:szCs w:val="32"/>
          <w:lang w:val="en-US" w:eastAsia="zh-CN"/>
        </w:rPr>
        <w:t>14</w:t>
      </w:r>
      <w:r>
        <w:rPr>
          <w:rFonts w:hint="eastAsia" w:ascii="楷体_GB2312" w:hAnsi="黑体" w:eastAsia="楷体_GB2312"/>
          <w:szCs w:val="32"/>
        </w:rPr>
        <w:t>日</w:t>
      </w:r>
    </w:p>
    <w:p w14:paraId="6A4B98ED">
      <w:pPr>
        <w:spacing w:line="480" w:lineRule="auto"/>
        <w:jc w:val="center"/>
        <w:rPr>
          <w:rFonts w:hint="eastAsia" w:ascii="方正小标宋简体" w:hAnsi="黑体" w:eastAsia="方正小标宋简体"/>
          <w:color w:val="FF0000"/>
          <w:sz w:val="36"/>
          <w:szCs w:val="36"/>
        </w:rPr>
      </w:pPr>
      <w:r>
        <w:rPr>
          <w:rFonts w:ascii="黑体" w:hAnsi="黑体" w:eastAsia="黑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-1270</wp:posOffset>
                </wp:positionV>
                <wp:extent cx="5695950" cy="0"/>
                <wp:effectExtent l="0" t="19050" r="0" b="190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4.35pt;margin-top:-0.1pt;height:0pt;width:448.5pt;z-index:251660288;mso-width-relative:page;mso-height-relative:page;" filled="f" stroked="t" coordsize="21600,21600" o:gfxdata="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479J7TAAAABgEAAA8AAAAAAAAAAQAgAAAAIgAAAGRycy9kb3ducmV2LnhtbFBLAQIU&#10;ABQAAAAIAIdO4kA+Tjph+AEAAL8DAAAOAAAAAAAAAAEAIAAAACIBAABkcnMvZTJvRG9jLnhtbFBL&#10;BQYAAAAABgAGAFkBAACM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4A93E0C">
      <w:pPr>
        <w:pStyle w:val="2"/>
        <w:shd w:val="clear" w:color="auto" w:fill="FFFFFF"/>
        <w:spacing w:before="0" w:after="75"/>
        <w:jc w:val="center"/>
        <w:rPr>
          <w:rFonts w:hint="eastAsia" w:ascii="方正小标宋_GBK" w:hAnsi="方正小标宋_GBK" w:eastAsia="方正小标宋_GBK" w:cs="方正小标宋_GBK"/>
          <w:b w:val="0"/>
          <w:kern w:val="2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kern w:val="2"/>
          <w:sz w:val="40"/>
          <w:szCs w:val="40"/>
        </w:rPr>
        <w:t>中秋慰问送真情，浓浓关怀暖人心</w:t>
      </w:r>
    </w:p>
    <w:p w14:paraId="7AD238AD">
      <w:pPr>
        <w:jc w:val="center"/>
        <w:rPr>
          <w:rFonts w:hint="eastAsia" w:ascii="方正小标宋_GBK" w:hAnsi="方正小标宋_GBK" w:eastAsia="方正小标宋_GBK" w:cs="方正小标宋_GBK"/>
          <w:bCs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Cs/>
          <w:sz w:val="40"/>
          <w:szCs w:val="40"/>
        </w:rPr>
        <w:t>——江海区工商联（总商会）组织发动各商协会、</w:t>
      </w:r>
    </w:p>
    <w:p w14:paraId="5599AAE1">
      <w:pPr>
        <w:jc w:val="center"/>
        <w:rPr>
          <w:rFonts w:hint="eastAsia" w:ascii="方正小标宋_GBK" w:hAnsi="方正小标宋_GBK" w:eastAsia="方正小标宋_GBK" w:cs="方正小标宋_GBK"/>
          <w:bCs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Cs/>
          <w:sz w:val="40"/>
          <w:szCs w:val="40"/>
        </w:rPr>
        <w:t>会员企业、非公党组织开展中秋慰问活动</w:t>
      </w:r>
    </w:p>
    <w:p w14:paraId="5AD7500A">
      <w:pPr>
        <w:widowControl/>
        <w:shd w:val="clear" w:color="auto" w:fill="FFFFFF"/>
        <w:spacing w:line="570" w:lineRule="atLeast"/>
        <w:jc w:val="center"/>
        <w:outlineLvl w:val="0"/>
        <w:rPr>
          <w:rFonts w:ascii="仿宋_GB2312" w:hAnsi="宋体" w:eastAsia="仿宋_GB2312" w:cs="宋体"/>
          <w:kern w:val="0"/>
          <w:sz w:val="32"/>
          <w:szCs w:val="32"/>
        </w:rPr>
      </w:pPr>
    </w:p>
    <w:p w14:paraId="07FD0A8A">
      <w:pPr>
        <w:ind w:firstLine="642"/>
        <w:rPr>
          <w:rFonts w:hint="eastAsia" w:ascii="方正仿宋_GBK" w:hAnsi="方正仿宋_GBK" w:eastAsia="方正仿宋_GBK" w:cs="方正仿宋_GBK"/>
          <w:color w:val="191919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“丹桂飘香秋意浓，金秋送爽人心暖。”为弘扬乐善好施、尊老爱幼的中华民族传统美德，在传统节日中秋佳节来临之际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江海区工商联（总商会）</w:t>
      </w:r>
      <w:r>
        <w:rPr>
          <w:rFonts w:hint="eastAsia" w:ascii="方正仿宋_GBK" w:hAnsi="方正仿宋_GBK" w:eastAsia="方正仿宋_GBK" w:cs="方正仿宋_GBK"/>
          <w:color w:val="191919"/>
          <w:sz w:val="32"/>
          <w:szCs w:val="32"/>
          <w:shd w:val="clear" w:color="auto" w:fill="FFFFFF"/>
        </w:rPr>
        <w:t>组织发动会员企业、各商协会、非公党委属下党组织积极开展“迎中秋 送温暖”系列慰问活动，为慰问对象送上中秋祝福，传递温暖情谊。</w:t>
      </w:r>
    </w:p>
    <w:p w14:paraId="59BEC9A5">
      <w:pPr>
        <w:numPr>
          <w:ilvl w:val="0"/>
          <w:numId w:val="1"/>
        </w:num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各商协会、会员企业走访慰问暖人心。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江海区工商联（总商会）属下的礼乐商会、江海区青年企业家商会、江门市照明电器行业协会、江门市光电行业协会、江海区个体私营企业协会、江门市江海区食品行业协会、江海区餐饮协会等商协会，以及江门高新区总部科技园有限公司、江门市裕景食品有限公司、江门南海饮食娱乐有限公司、粤湾云谷智慧产业园、广东百格律师事务所、江门市亨通高科工业园有限公司、江门市任仕通人力资源有限公司等会员企业响应号召，主动开展中秋助学、走访慰问等活动，积极履行社会责任，践行乐善好施、尊老爱幼等中华优秀传统美德。</w:t>
      </w:r>
    </w:p>
    <w:p w14:paraId="12D44588">
      <w:pPr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39690" cy="5206365"/>
            <wp:effectExtent l="0" t="0" r="3810" b="13335"/>
            <wp:docPr id="1" name="图片 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687D">
      <w:pPr>
        <w:jc w:val="center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Arial Unicode MS" w:hAnsi="Arial Unicode MS" w:eastAsia="Arial Unicode MS" w:cs="Arial Unicode MS"/>
          <w:sz w:val="28"/>
          <w:szCs w:val="28"/>
        </w:rPr>
        <w:t>〔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江海区工商联（总商会）各商协会、会员企业开展走访慰问活动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〕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270500" cy="5300980"/>
            <wp:effectExtent l="0" t="0" r="6350" b="13970"/>
            <wp:docPr id="2" name="图片 2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0DB4">
      <w:pPr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Arial Unicode MS" w:hAnsi="Arial Unicode MS" w:eastAsia="Arial Unicode MS" w:cs="Arial Unicode MS"/>
          <w:sz w:val="28"/>
          <w:szCs w:val="28"/>
        </w:rPr>
        <w:t>〔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江海区工商联（总商会）各商协会、会员企业开展走访慰问活动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〕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271770" cy="5287010"/>
            <wp:effectExtent l="0" t="0" r="5080" b="8890"/>
            <wp:docPr id="6" name="图片 6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7C78">
      <w:pPr>
        <w:jc w:val="center"/>
        <w:rPr>
          <w:rFonts w:ascii="方正楷体_GBK" w:hAnsi="方正楷体_GBK" w:eastAsia="方正楷体_GBK" w:cs="方正楷体_GBK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sz w:val="28"/>
          <w:szCs w:val="28"/>
        </w:rPr>
        <w:t>〔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江海区工商联（总商会）各商协会、会员企业开展走访慰问活动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〕</w:t>
      </w:r>
    </w:p>
    <w:p w14:paraId="7D0F5F07">
      <w:pPr>
        <w:ind w:firstLine="642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7FBFEE74">
      <w:pPr>
        <w:ind w:firstLine="642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466B4FCD">
      <w:pPr>
        <w:ind w:firstLine="642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3E42DAC3">
      <w:pPr>
        <w:ind w:firstLine="642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51F8C958">
      <w:pP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1B45DF05">
      <w:pPr>
        <w:ind w:firstLine="642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p w14:paraId="73640638">
      <w:pPr>
        <w:ind w:firstLine="642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二、各产业链党委举办活动、捐赠资金献爱心。</w:t>
      </w:r>
    </w:p>
    <w:p w14:paraId="30807F1D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江海区工商联（总商会）注重发挥政治引领作用，引导所属产业链党委及链上企业党组织充分发挥战斗堡垒作用，积极开展中秋节前文艺晚会、捐赠资金献爱心等活动，让产业链党委真正在对接公益服务、扶贫助困方面贡献力量。</w:t>
      </w:r>
    </w:p>
    <w:p w14:paraId="5F9F97E7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9月13日晚上，江海区物业行业党委联合嘉华物业在嘉华广场举行主题为“国风颂团圆，乐韵传中华”文艺晚会，共吸引了辖区200多名居民群众前来参加活动。同日晚上，江海区物业行业党委属下江门海逸华庭服务企业党支部举行“月满中秋 欢度国庆”活动。通过举办以上活动，大大营造了欢乐喜庆和谐的节日气氛，传递了文明向上的正能量，为构建和谐社会注入了正能量。</w:t>
      </w:r>
    </w:p>
    <w:p w14:paraId="5BA17AB4">
      <w:pPr>
        <w:ind w:firstLine="645"/>
        <w:rPr>
          <w:rFonts w:ascii="仿宋_GB2312" w:hAnsi="宋体" w:eastAsia="仿宋_GB2312" w:cs="宋体"/>
          <w:kern w:val="0"/>
          <w:sz w:val="32"/>
          <w:szCs w:val="32"/>
        </w:rPr>
      </w:pPr>
      <w:bookmarkStart w:id="0" w:name="_GoBack"/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13335</wp:posOffset>
            </wp:positionV>
            <wp:extent cx="4675505" cy="3143250"/>
            <wp:effectExtent l="0" t="0" r="10795" b="0"/>
            <wp:wrapNone/>
            <wp:docPr id="4" name="图片 4" descr="嘉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嘉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  </w:t>
      </w:r>
    </w:p>
    <w:p w14:paraId="04855A00">
      <w:pPr>
        <w:rPr>
          <w:rFonts w:ascii="仿宋_GB2312" w:hAnsi="宋体" w:eastAsia="仿宋_GB2312" w:cs="宋体"/>
          <w:kern w:val="0"/>
          <w:sz w:val="32"/>
          <w:szCs w:val="32"/>
        </w:rPr>
      </w:pPr>
    </w:p>
    <w:p w14:paraId="3D3A7BD0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3C6E4A8F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71A4AE6A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53FB9662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0A5E231D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7771FE19">
      <w:pP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05A91687">
      <w:pPr>
        <w:ind w:firstLine="642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中秋佳节来临之际，礼乐腊味产业链党委积极发动链上企业捐款，共筹集资金15040元定向慰问辖区困难家庭群众和中小学校教师职工，用实际行动传递了非公企业心中有党、心中有责的党员担当。</w:t>
      </w:r>
    </w:p>
    <w:p w14:paraId="2B3EA442">
      <w:pP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74310" cy="5320030"/>
            <wp:effectExtent l="0" t="0" r="2540" b="13970"/>
            <wp:docPr id="7" name="图片 7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7A38">
      <w:pPr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近年来，江海区工商联（总商会）积极引导会员企业、各商协会、非公党组织发扬扶贫济困、互助互爱的中华传统美德，逢年过节开展走访慰问活动，发挥民营企业家致富不忘众乡亲积极回报社会的精神。接下来，区工商联（总商会）将继续发挥政治引领作用，为民营企业家积极回报社会搭建平台，引导他们致富思源、富而思进，在做大做强各自企业的同时，用实际行动更好地回馈社会。</w:t>
      </w:r>
    </w:p>
    <w:p w14:paraId="21D73876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7FB382F3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40E1A1A5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1ADCF648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46A44B5B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3C94FA94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1F2DF044">
      <w:pPr>
        <w:spacing w:line="24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1F3F0771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23012A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D848F18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903462F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BB75504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41AB201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E284F8B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7DA4682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1623E02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83185</wp:posOffset>
                </wp:positionV>
                <wp:extent cx="582930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6pt;margin-top:6.55pt;height:0pt;width:459pt;z-index:251661312;mso-width-relative:page;mso-height-relative:page;" filled="f" stroked="t" coordsize="21600,21600" o:gfxdata="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5OwACdYAAAAIAQAA&#10;DwAAAAAAAAABACAAAAAiAAAAZHJzL2Rvd25yZXYueG1sUEsBAhQAFAAAAAgAh07iQPfcfoPiAQAA&#10;rQMAAA4AAAAAAAAAAQAgAAAAJQEAAGRycy9lMm9Eb2MueG1sUEsFBgAAAAAGAAYAWQEAAHkFAAAA&#10;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报：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市工商联、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区委统战部 </w:t>
      </w:r>
    </w:p>
    <w:p w14:paraId="279B8EAC">
      <w:pPr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57150</wp:posOffset>
                </wp:positionV>
                <wp:extent cx="582930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4.5pt;height:0pt;width:459pt;z-index:251663360;mso-width-relative:page;mso-height-relative:page;" filled="f" stroked="t" coordsize="21600,21600" o:gfxdata="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eSsczWAAAABgEA&#10;AA8AAAAAAAAAAQAgAAAAIgAAAGRycy9kb3ducmV2LnhtbFBLAQIUABQAAAAIAIdO4kDKpsBd4wEA&#10;AK0DAAAOAAAAAAAAAAEAIAAAACUBAABkcnMvZTJvRG9jLnhtbFBLBQYAAAAABgAGAFkBAAB6BQAA&#10;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398145</wp:posOffset>
                </wp:positionV>
                <wp:extent cx="5829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75pt;margin-top:31.35pt;height:0pt;width:459pt;z-index:251662336;mso-width-relative:page;mso-height-relative:page;" filled="f" stroked="t" coordsize="21600,21600" o:gfxdata="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GSKPc1wAAAAgB&#10;AAAPAAAAAAAAAAEAIAAAACIAAABkcnMvZG93bnJldi54bWxQSwECFAAUAAAACACHTuJA9Bgn3+MB&#10;AACtAwAADgAAAAAAAAABACAAAAAmAQAAZHJzL2Uyb0RvYy54bWxQSwUGAAAAAAYABgBZAQAAewUA&#10;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江门市江海区工商联办公室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印发</w:t>
      </w:r>
    </w:p>
    <w:sectPr>
      <w:pgSz w:w="11906" w:h="16838"/>
      <w:pgMar w:top="2154" w:right="1587" w:bottom="181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2179F4"/>
    <w:multiLevelType w:val="singleLevel"/>
    <w:tmpl w:val="D22179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hMmQxOTk2OTcwYThhNTUzMzMxZWY0ODUxNjJjMTQifQ=="/>
  </w:docVars>
  <w:rsids>
    <w:rsidRoot w:val="00000000"/>
    <w:rsid w:val="00C70102"/>
    <w:rsid w:val="0147153B"/>
    <w:rsid w:val="026003DA"/>
    <w:rsid w:val="02FA438B"/>
    <w:rsid w:val="02FC3960"/>
    <w:rsid w:val="06B27F0C"/>
    <w:rsid w:val="0B747091"/>
    <w:rsid w:val="0C4F7899"/>
    <w:rsid w:val="0CEA0417"/>
    <w:rsid w:val="0DA25D4B"/>
    <w:rsid w:val="0E552DBD"/>
    <w:rsid w:val="0FF85FCE"/>
    <w:rsid w:val="13DF5603"/>
    <w:rsid w:val="19A6535C"/>
    <w:rsid w:val="19E25E4D"/>
    <w:rsid w:val="1E763007"/>
    <w:rsid w:val="1F38206B"/>
    <w:rsid w:val="2700280A"/>
    <w:rsid w:val="27C84E95"/>
    <w:rsid w:val="2F3B32FA"/>
    <w:rsid w:val="325B00F2"/>
    <w:rsid w:val="348012F1"/>
    <w:rsid w:val="38E52E0C"/>
    <w:rsid w:val="3AD46C94"/>
    <w:rsid w:val="3BD62AC9"/>
    <w:rsid w:val="3E210442"/>
    <w:rsid w:val="41B415CD"/>
    <w:rsid w:val="434F72D1"/>
    <w:rsid w:val="465F41FD"/>
    <w:rsid w:val="4A897A9B"/>
    <w:rsid w:val="4B5C15DA"/>
    <w:rsid w:val="4B7863EB"/>
    <w:rsid w:val="50632B3C"/>
    <w:rsid w:val="50F73284"/>
    <w:rsid w:val="51F7768D"/>
    <w:rsid w:val="520F1863"/>
    <w:rsid w:val="53B75015"/>
    <w:rsid w:val="542E3461"/>
    <w:rsid w:val="54E9053C"/>
    <w:rsid w:val="56073F6A"/>
    <w:rsid w:val="578853E8"/>
    <w:rsid w:val="5B0F4F7E"/>
    <w:rsid w:val="5B767BC7"/>
    <w:rsid w:val="63716A7D"/>
    <w:rsid w:val="64CE15B4"/>
    <w:rsid w:val="66AF3F8D"/>
    <w:rsid w:val="686F04D9"/>
    <w:rsid w:val="690E2FBD"/>
    <w:rsid w:val="6A5512F0"/>
    <w:rsid w:val="6BE309E6"/>
    <w:rsid w:val="7137174F"/>
    <w:rsid w:val="768C7E47"/>
    <w:rsid w:val="775A7F45"/>
    <w:rsid w:val="79FD2E0A"/>
    <w:rsid w:val="7AB57A3E"/>
    <w:rsid w:val="7E0173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/>
      <w:b/>
      <w:bCs/>
      <w:kern w:val="44"/>
      <w:sz w:val="48"/>
      <w:szCs w:val="48"/>
    </w:rPr>
  </w:style>
  <w:style w:type="paragraph" w:styleId="3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/>
      <w:b/>
      <w:bCs/>
      <w:kern w:val="0"/>
      <w:sz w:val="27"/>
      <w:szCs w:val="27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autoRedefine/>
    <w:qFormat/>
    <w:uiPriority w:val="0"/>
    <w:pPr>
      <w:widowControl/>
    </w:pPr>
  </w:style>
  <w:style w:type="paragraph" w:styleId="5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mbria" w:hAnsi="Cambria" w:cs="Cambria"/>
      <w:b/>
      <w:bCs/>
      <w:kern w:val="0"/>
    </w:rPr>
  </w:style>
  <w:style w:type="paragraph" w:styleId="6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2"/>
    <w:basedOn w:val="1"/>
    <w:next w:val="1"/>
    <w:autoRedefine/>
    <w:qFormat/>
    <w:uiPriority w:val="0"/>
    <w:pPr>
      <w:spacing w:line="579" w:lineRule="exact"/>
      <w:ind w:firstLine="800" w:firstLineChars="200"/>
    </w:pPr>
    <w:rPr>
      <w:rFonts w:ascii="宋体" w:hAnsi="宋体"/>
      <w:szCs w:val="22"/>
    </w:rPr>
  </w:style>
  <w:style w:type="paragraph" w:styleId="9">
    <w:name w:val="Body Text First Indent"/>
    <w:basedOn w:val="4"/>
    <w:next w:val="1"/>
    <w:autoRedefine/>
    <w:qFormat/>
    <w:uiPriority w:val="0"/>
    <w:pPr>
      <w:ind w:firstLine="420" w:firstLineChars="100"/>
    </w:pPr>
  </w:style>
  <w:style w:type="character" w:styleId="12">
    <w:name w:val="Emphasis"/>
    <w:basedOn w:val="11"/>
    <w:autoRedefine/>
    <w:qFormat/>
    <w:uiPriority w:val="0"/>
    <w:rPr>
      <w:i/>
    </w:rPr>
  </w:style>
  <w:style w:type="character" w:styleId="13">
    <w:name w:val="Hyperlink"/>
    <w:basedOn w:val="11"/>
    <w:autoRedefine/>
    <w:qFormat/>
    <w:uiPriority w:val="0"/>
    <w:rPr>
      <w:color w:val="0000FF"/>
      <w:u w:val="single"/>
    </w:rPr>
  </w:style>
  <w:style w:type="character" w:customStyle="1" w:styleId="14">
    <w:name w:val="font31"/>
    <w:basedOn w:val="11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5">
    <w:name w:val="正文2"/>
    <w:basedOn w:val="1"/>
    <w:next w:val="1"/>
    <w:autoRedefine/>
    <w:qFormat/>
    <w:uiPriority w:val="0"/>
    <w:pPr>
      <w:adjustRightInd w:val="0"/>
      <w:ind w:firstLine="872" w:firstLineChars="200"/>
    </w:pPr>
    <w:rPr>
      <w:rFonts w:hint="eastAsia"/>
      <w:szCs w:val="32"/>
    </w:rPr>
  </w:style>
  <w:style w:type="character" w:customStyle="1" w:styleId="16">
    <w:name w:val="批注框文本 Char"/>
    <w:basedOn w:val="11"/>
    <w:link w:val="6"/>
    <w:autoRedefine/>
    <w:qFormat/>
    <w:uiPriority w:val="0"/>
    <w:rPr>
      <w:rFonts w:eastAsia="方正仿宋_GBK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1130</Words>
  <Characters>1149</Characters>
  <Lines>9</Lines>
  <Paragraphs>2</Paragraphs>
  <TotalTime>3</TotalTime>
  <ScaleCrop>false</ScaleCrop>
  <LinksUpToDate>false</LinksUpToDate>
  <CharactersWithSpaces>1176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2023-11-09T16:16:00Z</dcterms:created>
  <dc:creator>Mhx不玩手机</dc:creator>
  <cp:lastModifiedBy>Administrator</cp:lastModifiedBy>
  <cp:lastPrinted>2024-04-02T11:06:00Z</cp:lastPrinted>
  <dcterms:modified xsi:type="dcterms:W3CDTF">2024-09-14T09:29:15Z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463C147A8A354B8B80E50070A2BC38B7_13</vt:lpwstr>
  </property>
</Properties>
</file>