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eastAsia="zh-CN"/>
        </w:rPr>
        <w:t>江海区工商联</w:t>
      </w:r>
      <w:r>
        <w:rPr>
          <w:rFonts w:hint="eastAsia" w:ascii="方正小标宋简体" w:hAnsi="方正小标宋简体" w:eastAsia="方正小标宋简体" w:cs="方正小标宋简体"/>
          <w:sz w:val="36"/>
          <w:szCs w:val="36"/>
          <w:lang w:val="en-US" w:eastAsia="zh-CN"/>
        </w:rPr>
        <w:t>2022年普法工作责任落实清单</w:t>
      </w:r>
    </w:p>
    <w:tbl>
      <w:tblPr>
        <w:tblStyle w:val="3"/>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3901"/>
        <w:gridCol w:w="4605"/>
        <w:gridCol w:w="1620"/>
        <w:gridCol w:w="1733"/>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3" w:type="dxa"/>
          </w:tcPr>
          <w:p>
            <w:pPr>
              <w:jc w:val="center"/>
              <w:rPr>
                <w:rFonts w:hint="eastAsia" w:ascii="黑体" w:hAnsi="黑体" w:eastAsia="黑体" w:cs="黑体"/>
                <w:color w:val="000000" w:themeColor="text1"/>
                <w:sz w:val="30"/>
                <w:szCs w:val="30"/>
                <w:vertAlign w:val="baseline"/>
                <w:lang w:val="en-US" w:eastAsia="zh-CN"/>
                <w14:textFill>
                  <w14:solidFill>
                    <w14:schemeClr w14:val="tx1"/>
                  </w14:solidFill>
                </w14:textFill>
              </w:rPr>
            </w:pPr>
            <w:r>
              <w:rPr>
                <w:rFonts w:hint="eastAsia" w:ascii="黑体" w:hAnsi="黑体" w:eastAsia="黑体" w:cs="黑体"/>
                <w:color w:val="000000" w:themeColor="text1"/>
                <w:sz w:val="30"/>
                <w:szCs w:val="30"/>
                <w:vertAlign w:val="baseline"/>
                <w:lang w:val="en-US" w:eastAsia="zh-CN"/>
                <w14:textFill>
                  <w14:solidFill>
                    <w14:schemeClr w14:val="tx1"/>
                  </w14:solidFill>
                </w14:textFill>
              </w:rPr>
              <w:t>序号</w:t>
            </w:r>
          </w:p>
        </w:tc>
        <w:tc>
          <w:tcPr>
            <w:tcW w:w="3901" w:type="dxa"/>
          </w:tcPr>
          <w:p>
            <w:pPr>
              <w:jc w:val="center"/>
              <w:rPr>
                <w:rFonts w:hint="eastAsia" w:ascii="黑体" w:hAnsi="黑体" w:eastAsia="黑体" w:cs="黑体"/>
                <w:color w:val="000000" w:themeColor="text1"/>
                <w:sz w:val="30"/>
                <w:szCs w:val="30"/>
                <w:vertAlign w:val="baseline"/>
                <w:lang w:val="en-US" w:eastAsia="zh-CN"/>
                <w14:textFill>
                  <w14:solidFill>
                    <w14:schemeClr w14:val="tx1"/>
                  </w14:solidFill>
                </w14:textFill>
              </w:rPr>
            </w:pPr>
            <w:r>
              <w:rPr>
                <w:rFonts w:hint="eastAsia" w:ascii="黑体" w:hAnsi="黑体" w:eastAsia="黑体" w:cs="黑体"/>
                <w:color w:val="000000" w:themeColor="text1"/>
                <w:sz w:val="30"/>
                <w:szCs w:val="30"/>
                <w:vertAlign w:val="baseline"/>
                <w:lang w:val="en-US" w:eastAsia="zh-CN"/>
                <w14:textFill>
                  <w14:solidFill>
                    <w14:schemeClr w14:val="tx1"/>
                  </w14:solidFill>
                </w14:textFill>
              </w:rPr>
              <w:t>工作内容</w:t>
            </w:r>
          </w:p>
        </w:tc>
        <w:tc>
          <w:tcPr>
            <w:tcW w:w="4605" w:type="dxa"/>
          </w:tcPr>
          <w:p>
            <w:pPr>
              <w:jc w:val="center"/>
              <w:rPr>
                <w:rFonts w:hint="eastAsia" w:ascii="黑体" w:hAnsi="黑体" w:eastAsia="黑体" w:cs="黑体"/>
                <w:color w:val="000000" w:themeColor="text1"/>
                <w:sz w:val="30"/>
                <w:szCs w:val="30"/>
                <w:vertAlign w:val="baseline"/>
                <w:lang w:val="en-US" w:eastAsia="zh-CN"/>
                <w14:textFill>
                  <w14:solidFill>
                    <w14:schemeClr w14:val="tx1"/>
                  </w14:solidFill>
                </w14:textFill>
              </w:rPr>
            </w:pPr>
            <w:r>
              <w:rPr>
                <w:rFonts w:hint="eastAsia" w:ascii="黑体" w:hAnsi="黑体" w:eastAsia="黑体" w:cs="黑体"/>
                <w:color w:val="000000" w:themeColor="text1"/>
                <w:sz w:val="30"/>
                <w:szCs w:val="30"/>
                <w:vertAlign w:val="baseline"/>
                <w:lang w:val="en-US" w:eastAsia="zh-CN"/>
                <w14:textFill>
                  <w14:solidFill>
                    <w14:schemeClr w14:val="tx1"/>
                  </w14:solidFill>
                </w14:textFill>
              </w:rPr>
              <w:t>节点任务</w:t>
            </w:r>
          </w:p>
        </w:tc>
        <w:tc>
          <w:tcPr>
            <w:tcW w:w="1620" w:type="dxa"/>
          </w:tcPr>
          <w:p>
            <w:pPr>
              <w:jc w:val="center"/>
              <w:rPr>
                <w:rFonts w:hint="eastAsia" w:ascii="黑体" w:hAnsi="黑体" w:eastAsia="黑体" w:cs="黑体"/>
                <w:color w:val="000000" w:themeColor="text1"/>
                <w:sz w:val="30"/>
                <w:szCs w:val="30"/>
                <w:vertAlign w:val="baseline"/>
                <w:lang w:val="en-US" w:eastAsia="zh-CN"/>
                <w14:textFill>
                  <w14:solidFill>
                    <w14:schemeClr w14:val="tx1"/>
                  </w14:solidFill>
                </w14:textFill>
              </w:rPr>
            </w:pPr>
            <w:r>
              <w:rPr>
                <w:rFonts w:hint="eastAsia" w:ascii="黑体" w:hAnsi="黑体" w:eastAsia="黑体" w:cs="黑体"/>
                <w:color w:val="000000" w:themeColor="text1"/>
                <w:sz w:val="30"/>
                <w:szCs w:val="30"/>
                <w:vertAlign w:val="baseline"/>
                <w:lang w:val="en-US" w:eastAsia="zh-CN"/>
                <w14:textFill>
                  <w14:solidFill>
                    <w14:schemeClr w14:val="tx1"/>
                  </w14:solidFill>
                </w14:textFill>
              </w:rPr>
              <w:t>责任部门</w:t>
            </w:r>
          </w:p>
        </w:tc>
        <w:tc>
          <w:tcPr>
            <w:tcW w:w="1733" w:type="dxa"/>
          </w:tcPr>
          <w:p>
            <w:pPr>
              <w:jc w:val="center"/>
              <w:rPr>
                <w:rFonts w:hint="eastAsia" w:ascii="黑体" w:hAnsi="黑体" w:eastAsia="黑体" w:cs="黑体"/>
                <w:color w:val="000000" w:themeColor="text1"/>
                <w:sz w:val="30"/>
                <w:szCs w:val="30"/>
                <w:vertAlign w:val="baseline"/>
                <w:lang w:val="en-US" w:eastAsia="zh-CN"/>
                <w14:textFill>
                  <w14:solidFill>
                    <w14:schemeClr w14:val="tx1"/>
                  </w14:solidFill>
                </w14:textFill>
              </w:rPr>
            </w:pPr>
            <w:r>
              <w:rPr>
                <w:rFonts w:hint="eastAsia" w:ascii="黑体" w:hAnsi="黑体" w:eastAsia="黑体" w:cs="黑体"/>
                <w:color w:val="000000" w:themeColor="text1"/>
                <w:sz w:val="30"/>
                <w:szCs w:val="30"/>
                <w:vertAlign w:val="baseline"/>
                <w:lang w:val="en-US" w:eastAsia="zh-CN"/>
                <w14:textFill>
                  <w14:solidFill>
                    <w14:schemeClr w14:val="tx1"/>
                  </w14:solidFill>
                </w14:textFill>
              </w:rPr>
              <w:t>完成时限</w:t>
            </w:r>
          </w:p>
        </w:tc>
        <w:tc>
          <w:tcPr>
            <w:tcW w:w="1174" w:type="dxa"/>
          </w:tcPr>
          <w:p>
            <w:pPr>
              <w:jc w:val="center"/>
              <w:rPr>
                <w:rFonts w:hint="eastAsia" w:ascii="黑体" w:hAnsi="黑体" w:eastAsia="黑体" w:cs="黑体"/>
                <w:color w:val="000000" w:themeColor="text1"/>
                <w:sz w:val="30"/>
                <w:szCs w:val="30"/>
                <w:vertAlign w:val="baseline"/>
                <w:lang w:val="en-US" w:eastAsia="zh-CN"/>
                <w14:textFill>
                  <w14:solidFill>
                    <w14:schemeClr w14:val="tx1"/>
                  </w14:solidFill>
                </w14:textFill>
              </w:rPr>
            </w:pPr>
            <w:r>
              <w:rPr>
                <w:rFonts w:hint="eastAsia" w:ascii="黑体" w:hAnsi="黑体" w:eastAsia="黑体" w:cs="黑体"/>
                <w:color w:val="000000" w:themeColor="text1"/>
                <w:sz w:val="30"/>
                <w:szCs w:val="30"/>
                <w:vertAlign w:val="baseline"/>
                <w:lang w:val="en-US" w:eastAsia="zh-CN"/>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390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加强组织领导，落实普法工作责任制</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深入学习习近平总书记关于全面依法治国、依规治党的重要论述和以习近平同志为核心的党中央关于全面依法治国的重要部署</w:t>
            </w:r>
            <w:r>
              <w:rPr>
                <w:rFonts w:hint="eastAsia" w:ascii="仿宋_GB2312" w:hAnsi="仿宋_GB2312" w:eastAsia="仿宋_GB2312" w:cs="仿宋_GB2312"/>
                <w:sz w:val="28"/>
                <w:szCs w:val="28"/>
                <w:lang w:val="en-US" w:eastAsia="zh-CN"/>
              </w:rPr>
              <w:t>，将习近平法治思想列入党组会议、党组理论中心组重点学习内容</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深入学习宣传宪法和中国特色社会主义法律体系，认真学习《习近平法治思想学习纲要》《习近平法治思想学习问答》等权威读本</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7月底前完成</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加强党章和党内法规学习教育，认真学习《中国共产党章程》《中国共产党纪律处分条例》《关于新形势下党内政治生活的若干准则》等党内法规</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制定2022年普法工作计划，把推进法治建设纳入工商联工作大局科学谋划、统筹安排</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3月底前完成</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党组定期听取普法工作汇报，研究下一步工作措施</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组织全体干部参加学法用法考试，参考率和通过率达100%，优秀率达100%以上</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多层次开展领导干部培训，组织干部职工参加法律法规培训班、法治专题讲座、旁听庭审活动</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各商协会以“凝心聚力，积极作为”为主题，开展普法宣传工作。光电协会围绕知识产权方面、照明协会围绕劳动关系方面、</w:t>
            </w:r>
            <w:bookmarkStart w:id="0" w:name="_GoBack"/>
            <w:r>
              <w:rPr>
                <w:rFonts w:hint="eastAsia" w:ascii="仿宋_GB2312" w:hAnsi="仿宋_GB2312" w:eastAsia="仿宋_GB2312" w:cs="仿宋_GB2312"/>
                <w:sz w:val="28"/>
                <w:szCs w:val="28"/>
                <w:vertAlign w:val="baseline"/>
                <w:lang w:val="en-US" w:eastAsia="zh-CN"/>
              </w:rPr>
              <w:t>青年企业家商会围绕金融、财税等方面开展</w:t>
            </w:r>
            <w:bookmarkEnd w:id="0"/>
            <w:r>
              <w:rPr>
                <w:rFonts w:hint="eastAsia" w:ascii="仿宋_GB2312" w:hAnsi="仿宋_GB2312" w:eastAsia="仿宋_GB2312" w:cs="仿宋_GB2312"/>
                <w:sz w:val="28"/>
                <w:szCs w:val="28"/>
                <w:vertAlign w:val="baseline"/>
                <w:lang w:val="en-US" w:eastAsia="zh-CN"/>
              </w:rPr>
              <w:t>专题宣讲活动。其他商协会围绕自身地区、行业发展面临的问题和困境开展学法普法宣传活动。</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办公室、各商协会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7月底前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完成</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390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强化服务职能，着力提升法治化营商环境</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以“走访调研+实地普法”的形式，开展暖企走访调研活动，向企业宣传宣讲法律知识</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办公室、各商协会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利用区工商联官方网站、“江海区工商联”微信公众号和执委工作群推送涉企惠企优惠政策信息和法律法规解读</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收集、整理各级党委政府支持企业抗击疫情和复工复产政策资料，向商协会发放相关法律法规学习资料、书籍等</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充分利用国家宪法日、法治江海宣传教育周、行业宣传日(周、月)、法律法规颁布施行纪念日等时间节点，持续开展普法宣传活动</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办公室、各商协会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12月底前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完成</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联合其他职能部门组织举办劳动关系、税务、知识产权等知识讲座</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办公室、各商协会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3901" w:type="dxa"/>
            <w:vMerge w:val="restart"/>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突出特色亮点，打造工商联法律服务品牌</w:t>
            </w: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引导具备条件的商协会依法建立行业性劳动争议调解组织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各商协会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协助推荐具备条件的商协会和会员企业创建申报2022年度全市金牌劳动人事争议调解组织</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办公室、各商协会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全年推进</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完善区工商联（总商会）金融中心联络处公共法律服务点建设</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12月底前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完成</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联合华南律师事务所积极开展疫情防控、扫黑除恶以及法律援助宣传活动</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12月底前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完成</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发动更多商协会和会员企业与律师事务签订合作协议，保障会员合法权益。</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办公室、各商协会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12月底前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完成</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邀请</w:t>
            </w:r>
            <w:r>
              <w:rPr>
                <w:rFonts w:hint="default" w:ascii="仿宋_GB2312" w:hAnsi="仿宋_GB2312" w:eastAsia="仿宋_GB2312" w:cs="仿宋_GB2312"/>
                <w:sz w:val="28"/>
                <w:szCs w:val="28"/>
                <w:vertAlign w:val="baseline"/>
                <w:lang w:val="en-US" w:eastAsia="zh-CN"/>
              </w:rPr>
              <w:t>中国工商银行江门江海支行</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珠海华润银行股份有限公司江门分行</w:t>
            </w:r>
            <w:r>
              <w:rPr>
                <w:rFonts w:hint="eastAsia" w:ascii="仿宋_GB2312" w:hAnsi="仿宋_GB2312" w:eastAsia="仿宋_GB2312" w:cs="仿宋_GB2312"/>
                <w:sz w:val="28"/>
                <w:szCs w:val="28"/>
                <w:vertAlign w:val="baseline"/>
                <w:lang w:val="en-US" w:eastAsia="zh-CN"/>
              </w:rPr>
              <w:t>、</w:t>
            </w:r>
            <w:r>
              <w:rPr>
                <w:rFonts w:hint="default" w:ascii="仿宋_GB2312" w:hAnsi="仿宋_GB2312" w:eastAsia="仿宋_GB2312" w:cs="仿宋_GB2312"/>
                <w:sz w:val="28"/>
                <w:szCs w:val="28"/>
                <w:vertAlign w:val="baseline"/>
                <w:lang w:val="en-US" w:eastAsia="zh-CN"/>
              </w:rPr>
              <w:t>江门农商银行江海中心支行</w:t>
            </w:r>
            <w:r>
              <w:rPr>
                <w:rFonts w:hint="eastAsia" w:ascii="仿宋_GB2312" w:hAnsi="仿宋_GB2312" w:eastAsia="仿宋_GB2312" w:cs="仿宋_GB2312"/>
                <w:sz w:val="28"/>
                <w:szCs w:val="28"/>
                <w:vertAlign w:val="baseline"/>
                <w:lang w:val="en-US" w:eastAsia="zh-CN"/>
              </w:rPr>
              <w:t>作为区工商联（总商会）第五届特邀副会长单位，加强金融领域法律服务。</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5月底前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完成</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109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3901" w:type="dxa"/>
            <w:vMerge w:val="continue"/>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p>
        </w:tc>
        <w:tc>
          <w:tcPr>
            <w:tcW w:w="460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联合金融机构共同为会员企业举办金融、法律专题讲座</w:t>
            </w:r>
          </w:p>
        </w:tc>
        <w:tc>
          <w:tcPr>
            <w:tcW w:w="1620"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办公室、各商协会</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12月底前</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完成</w:t>
            </w:r>
          </w:p>
        </w:tc>
        <w:tc>
          <w:tcPr>
            <w:tcW w:w="117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28"/>
                <w:szCs w:val="28"/>
                <w:vertAlign w:val="baseline"/>
                <w:lang w:val="en-US" w:eastAsia="zh-CN"/>
              </w:rPr>
            </w:pPr>
          </w:p>
        </w:tc>
      </w:tr>
    </w:tbl>
    <w:p>
      <w:pPr>
        <w:jc w:val="both"/>
        <w:rPr>
          <w:rFonts w:hint="default" w:ascii="方正小标宋简体" w:hAnsi="方正小标宋简体" w:eastAsia="方正小标宋简体" w:cs="方正小标宋简体"/>
          <w:sz w:val="36"/>
          <w:szCs w:val="36"/>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6B0F35"/>
    <w:rsid w:val="0B6B0F35"/>
    <w:rsid w:val="121F4636"/>
    <w:rsid w:val="1FAE3EF3"/>
    <w:rsid w:val="23DF6551"/>
    <w:rsid w:val="45CC7564"/>
    <w:rsid w:val="47502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130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2022-04-02T02:13:00Z</dcterms:created>
  <dc:creator>Administrator</dc:creator>
  <cp:lastModifiedBy>Administrator</cp:lastModifiedBy>
  <cp:lastPrinted>2022-04-14T08:22:00Z</cp:lastPrinted>
  <dcterms:modified xsi:type="dcterms:W3CDTF">2022-04-18T07:09:34Z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