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i w:val="0"/>
          <w:iCs w:val="0"/>
          <w:caps w:val="0"/>
          <w:color w:val="000000" w:themeColor="text1"/>
          <w:spacing w:val="8"/>
          <w:sz w:val="36"/>
          <w:szCs w:val="36"/>
          <w:bdr w:val="none" w:color="auto" w:sz="0" w:space="0"/>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8"/>
          <w:sz w:val="36"/>
          <w:szCs w:val="36"/>
          <w:bdr w:val="none" w:color="auto" w:sz="0" w:space="0"/>
          <w:shd w:val="clear" w:fill="FFFFFF"/>
          <w14:textFill>
            <w14:solidFill>
              <w14:schemeClr w14:val="tx1"/>
            </w14:solidFill>
          </w14:textFill>
        </w:rPr>
        <w:t>2022年新出台的税费支持政策</w:t>
      </w:r>
      <w:r>
        <w:rPr>
          <w:rFonts w:hint="eastAsia" w:ascii="方正小标宋简体" w:hAnsi="方正小标宋简体" w:eastAsia="方正小标宋简体" w:cs="方正小标宋简体"/>
          <w:i w:val="0"/>
          <w:iCs w:val="0"/>
          <w:caps w:val="0"/>
          <w:color w:val="000000" w:themeColor="text1"/>
          <w:spacing w:val="0"/>
          <w:sz w:val="36"/>
          <w:szCs w:val="36"/>
          <w:bdr w:val="none" w:color="auto" w:sz="0" w:space="0"/>
          <w:shd w:val="clear" w:fill="FFFFFF"/>
          <w14:textFill>
            <w14:solidFill>
              <w14:schemeClr w14:val="tx1"/>
            </w14:solidFill>
          </w14:textFill>
        </w:rPr>
        <w:t>——</w:t>
      </w:r>
      <w:r>
        <w:rPr>
          <w:rFonts w:hint="eastAsia" w:ascii="方正小标宋简体" w:hAnsi="方正小标宋简体" w:eastAsia="方正小标宋简体" w:cs="方正小标宋简体"/>
          <w:i w:val="0"/>
          <w:iCs w:val="0"/>
          <w:caps w:val="0"/>
          <w:color w:val="000000" w:themeColor="text1"/>
          <w:spacing w:val="8"/>
          <w:sz w:val="36"/>
          <w:szCs w:val="36"/>
          <w:bdr w:val="none" w:color="auto" w:sz="0" w:space="0"/>
          <w:shd w:val="clear" w:fill="FFFFFF"/>
          <w14:textFill>
            <w14:solidFill>
              <w14:schemeClr w14:val="tx1"/>
            </w14:solidFill>
          </w14:textFill>
        </w:rPr>
        <w:t>小微企业“六税两费”减免政策</w:t>
      </w:r>
    </w:p>
    <w:p>
      <w:pPr>
        <w:rPr>
          <w:rFonts w:hint="eastAsia" w:ascii="方正小标宋简体" w:hAnsi="方正小标宋简体" w:eastAsia="方正小标宋简体" w:cs="方正小标宋简体"/>
          <w:i w:val="0"/>
          <w:iCs w:val="0"/>
          <w:caps w:val="0"/>
          <w:color w:val="000000" w:themeColor="text1"/>
          <w:spacing w:val="8"/>
          <w:sz w:val="36"/>
          <w:szCs w:val="36"/>
          <w:bdr w:val="none" w:color="auto" w:sz="0" w:space="0"/>
          <w:shd w:val="clear" w:fill="FFFFFF"/>
          <w14:textFill>
            <w14:solidFill>
              <w14:schemeClr w14:val="tx1"/>
            </w14:solidFill>
          </w14:textFill>
        </w:rPr>
      </w:pPr>
    </w:p>
    <w:p>
      <w:pPr>
        <w:ind w:firstLine="552"/>
        <w:rPr>
          <w:rFonts w:ascii="Arial" w:hAnsi="Arial" w:eastAsia="Arial" w:cs="Arial"/>
          <w:i w:val="0"/>
          <w:iCs w:val="0"/>
          <w:caps w:val="0"/>
          <w:color w:val="222222"/>
          <w:spacing w:val="8"/>
          <w:sz w:val="25"/>
          <w:szCs w:val="25"/>
          <w:shd w:val="clear" w:fill="FFFFFF"/>
        </w:rPr>
      </w:pPr>
      <w:r>
        <w:rPr>
          <w:rFonts w:ascii="Arial" w:hAnsi="Arial" w:eastAsia="Arial" w:cs="Arial"/>
          <w:i w:val="0"/>
          <w:iCs w:val="0"/>
          <w:caps w:val="0"/>
          <w:color w:val="222222"/>
          <w:spacing w:val="8"/>
          <w:sz w:val="25"/>
          <w:szCs w:val="25"/>
          <w:shd w:val="clear" w:fill="FFFFFF"/>
        </w:rPr>
        <w:t>为了方便市场主体及时了解适用税费支持政策，税务总局对新出台的和延续实施的有关政策进行了梳理，按照享受主体、优惠内容、享受条件、政策依据的编写体例，形成了涵盖33项内容的新的组合式税费支</w:t>
      </w:r>
      <w:r>
        <w:rPr>
          <w:rFonts w:ascii="Arial" w:hAnsi="Arial" w:eastAsia="Arial" w:cs="Arial"/>
          <w:i w:val="0"/>
          <w:iCs w:val="0"/>
          <w:caps w:val="0"/>
          <w:color w:val="222222"/>
          <w:spacing w:val="8"/>
          <w:sz w:val="25"/>
          <w:szCs w:val="25"/>
          <w:shd w:val="clear" w:fill="FFFFFF"/>
        </w:rPr>
        <w:t>持政策指引，后续将根据新出台税费政策情况持续更新。</w:t>
      </w:r>
    </w:p>
    <w:p>
      <w:pPr>
        <w:ind w:firstLine="552"/>
        <w:rPr>
          <w:rFonts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【享</w:t>
      </w:r>
      <w:bookmarkStart w:id="0" w:name="_GoBack"/>
      <w:bookmarkEnd w:id="0"/>
      <w:r>
        <w:rPr>
          <w:rFonts w:hint="eastAsia" w:ascii="Arial" w:hAnsi="Arial" w:eastAsia="Arial" w:cs="Arial"/>
          <w:i w:val="0"/>
          <w:iCs w:val="0"/>
          <w:caps w:val="0"/>
          <w:color w:val="222222"/>
          <w:spacing w:val="8"/>
          <w:sz w:val="25"/>
          <w:szCs w:val="25"/>
          <w:shd w:val="clear" w:fill="FFFFFF"/>
          <w:lang w:val="en-US" w:eastAsia="zh-CN"/>
        </w:rPr>
        <w:t>受主体】</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增值税小规模纳税人、小型微利企业和个体工商户</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【优惠内容】</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自2022年1月1日至2024年12月31日，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【享受条件】</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1.小型微利企业，是指从事国家非限制和禁止行业，且同时符合年度应纳税所得额不超过300万元、从业人数不超过300人、资产总额不超过5000万元等三个条件的企业。</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从业人数，包括与企业建立劳动关系的职工人数和企业接受的劳务派遣用工人数。所称从业人数和资产总额指标，应按企业全年的季度平均值确定。具体计算公式如下：</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季度平均值＝（季初值＋季末值）÷2</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全年季度平均值＝全年各季度平均值之和÷4</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年度中间开业或者终止经营活动的，以其实际经营期作为一个纳税年度确定上述相关指标。</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小型微利企业的判定以企业所得税年度汇算清缴结果为准。</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登记为增值税一般纳税人的新设立的企业，从事国家非限制和禁止行业，且同时符合申报期上月末从业人数不超过300人、资产总额不超过5000万元等两个条件的，可在首次办理汇算清缴前按照小型微利企业申报享受《财政部 税务总局关于进一步实施小微企业“六税两费”减免政策的公告》（2022年第10号） 第一条规定的优惠政策。</w:t>
      </w:r>
    </w:p>
    <w:p>
      <w:pPr>
        <w:ind w:firstLine="552"/>
        <w:rPr>
          <w:rFonts w:hint="eastAsia" w:ascii="Arial" w:hAnsi="Arial" w:eastAsia="Arial" w:cs="Arial"/>
          <w:i w:val="0"/>
          <w:iCs w:val="0"/>
          <w:caps w:val="0"/>
          <w:color w:val="222222"/>
          <w:spacing w:val="8"/>
          <w:sz w:val="25"/>
          <w:szCs w:val="25"/>
          <w:shd w:val="clear" w:fill="FFFFFF"/>
          <w:lang w:val="en-US" w:eastAsia="zh-CN"/>
        </w:rPr>
      </w:pPr>
      <w:r>
        <w:rPr>
          <w:rFonts w:hint="eastAsia" w:ascii="Arial" w:hAnsi="Arial" w:eastAsia="Arial" w:cs="Arial"/>
          <w:i w:val="0"/>
          <w:iCs w:val="0"/>
          <w:caps w:val="0"/>
          <w:color w:val="222222"/>
          <w:spacing w:val="8"/>
          <w:sz w:val="25"/>
          <w:szCs w:val="25"/>
          <w:shd w:val="clear" w:fill="FFFFFF"/>
          <w:lang w:val="en-US" w:eastAsia="zh-CN"/>
        </w:rPr>
        <w:t>2.增值税小规模纳税人、小型微利企业和个体工商户已依法享受资源税、城市维护建设税、房产税、城镇土地使用税、印花税、耕地占用税、教育费附加、地方教育附加其他优惠政策的，可叠加享受《财政部 税务总局关于进一步实施小微企业“六税两费”减免政策的公告》（2022年第10号） 第一条规定的优惠政策。</w:t>
      </w:r>
    </w:p>
    <w:p>
      <w:pPr>
        <w:ind w:firstLine="552"/>
        <w:rPr>
          <w:rFonts w:hint="eastAsia" w:ascii="Arial" w:hAnsi="Arial" w:eastAsia="Arial" w:cs="Arial"/>
          <w:i w:val="0"/>
          <w:iCs w:val="0"/>
          <w:caps w:val="0"/>
          <w:color w:val="222222"/>
          <w:spacing w:val="8"/>
          <w:sz w:val="25"/>
          <w:szCs w:val="25"/>
          <w:shd w:val="clear" w:fill="FFFFFF"/>
          <w:lang w:val="en-US" w:eastAsia="zh-CN"/>
        </w:rPr>
      </w:pPr>
    </w:p>
    <w:p>
      <w:pPr>
        <w:ind w:firstLine="552"/>
        <w:rPr>
          <w:rFonts w:ascii="Arial" w:hAnsi="Arial" w:eastAsia="Arial" w:cs="Arial"/>
          <w:i w:val="0"/>
          <w:iCs w:val="0"/>
          <w:caps w:val="0"/>
          <w:color w:val="222222"/>
          <w:spacing w:val="8"/>
          <w:sz w:val="25"/>
          <w:szCs w:val="25"/>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YzgzN2I0ZDI2Yzk2ZjQ1MGZjOTRjZjhkYzAxNTAifQ=="/>
  </w:docVars>
  <w:rsids>
    <w:rsidRoot w:val="054848A6"/>
    <w:rsid w:val="05484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6</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2022-08-15T02:40:00Z</dcterms:created>
  <dc:creator>Jimmy</dc:creator>
  <cp:lastModifiedBy>Jimmy</cp:lastModifiedBy>
  <dcterms:modified xsi:type="dcterms:W3CDTF">2022-08-15T02:48:39Z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32C19CD3BEA2427081D1DA625297C986</vt:lpwstr>
  </property>
</Properties>
</file>