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  <w:u w:val="none"/>
          <w:lang w:val="en-US" w:eastAsia="zh-CN"/>
        </w:rPr>
        <w:t>附件6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  <w:u w:val="none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jc w:val="center"/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  <w:lang w:val="en-US" w:eastAsia="zh-CN"/>
        </w:rPr>
        <w:t>创建活动工作台账清单</w:t>
      </w:r>
    </w:p>
    <w:bookmarkEnd w:id="0"/>
    <w:p>
      <w:pPr>
        <w:pStyle w:val="2"/>
        <w:widowControl w:val="0"/>
        <w:numPr>
          <w:ilvl w:val="0"/>
          <w:numId w:val="0"/>
        </w:numPr>
        <w:jc w:val="center"/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创建工作领导小组名单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2.青年文明号创建年度工作计划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3.财务部门出具的青年文明号创建经费使用记录凭证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4.青年文明号创建目标、主题、口号、服务承诺、便民措施、监督电话悬挂在岗位现场或单位网址醒目位置的照片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5.青年文明号创建宣传栏、青年文明号活动阵地照片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6.青年文明号创建管理制度、监督制度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7.创建集体开展独创性特色服务情况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8.创建集体收集群众意见和改进情况记录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9.创建集体近两年受到社会群众好评情况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10.</w:t>
      </w:r>
      <w:r>
        <w:rPr>
          <w:rFonts w:hint="default" w:ascii="Times New Roman" w:hAnsi="Times New Roman" w:eastAsia="方正仿宋_GBK" w:cs="Times New Roman"/>
          <w:color w:val="auto"/>
          <w:spacing w:val="-6"/>
          <w:sz w:val="32"/>
          <w:szCs w:val="32"/>
          <w:u w:val="none"/>
          <w:lang w:val="en-US" w:eastAsia="zh-CN"/>
        </w:rPr>
        <w:t>培养青年人才或岗位能手的计划和青年人才奖励措施制定情况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11.开展政治学习、职业文明教育情况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12.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有关理论文章在报刊、杂志上发表、调研报告被领导批示采用或课题研究成果被上级单位评奖表彰的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情况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13.宣传社会主义核心价值观和本行业、系统、单位或本集体特色文件的宣传报道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14.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践行社会主义核心价值观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情况（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集体成员有一半以上为注册志愿者；集体成员在工作中有引导服务对象遵守文明法则的措施；在网络上遇到不文明现象能主动发声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等）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15.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建立关爱青少年、志愿服务等公益活动长效机制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情况</w:t>
      </w:r>
    </w:p>
    <w:p>
      <w:pPr>
        <w:pStyle w:val="2"/>
        <w:widowControl w:val="0"/>
        <w:numPr>
          <w:ilvl w:val="0"/>
          <w:numId w:val="0"/>
        </w:numPr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16.创建集体或创建集体中的青年获得荣誉情况</w:t>
      </w:r>
    </w:p>
    <w:p>
      <w:pPr>
        <w:rPr>
          <w:b/>
          <w:bCs/>
        </w:rPr>
      </w:pPr>
    </w:p>
    <w:sectPr>
      <w:pgSz w:w="11906" w:h="16838"/>
      <w:pgMar w:top="2154" w:right="1587" w:bottom="181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yMjkwOGU4OGMxMTJjMTgyOTU2OThiZGU0ZjY1MDQifQ=="/>
  </w:docVars>
  <w:rsids>
    <w:rsidRoot w:val="74145C8D"/>
    <w:rsid w:val="39F91F81"/>
    <w:rsid w:val="7414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2024-04-02T10:30:00Z</dcterms:created>
  <dc:creator>Administrator</dc:creator>
  <cp:lastModifiedBy>Administrator</cp:lastModifiedBy>
  <dcterms:modified xsi:type="dcterms:W3CDTF">2024-04-02T10:30:45Z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A288AC59459248FD80E91C093C78F6A9_11</vt:lpwstr>
  </property>
</Properties>
</file>